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746A25">
        <w:rPr>
          <w:sz w:val="24"/>
        </w:rPr>
        <w:t>02</w:t>
      </w:r>
      <w:r>
        <w:rPr>
          <w:sz w:val="24"/>
        </w:rPr>
        <w:t xml:space="preserve">» </w:t>
      </w:r>
      <w:r w:rsidR="00746A25">
        <w:rPr>
          <w:sz w:val="24"/>
        </w:rPr>
        <w:t>октября</w:t>
      </w:r>
      <w:r>
        <w:rPr>
          <w:sz w:val="24"/>
        </w:rPr>
        <w:t xml:space="preserve"> 202</w:t>
      </w:r>
      <w:r w:rsidR="002942DE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</w:t>
      </w:r>
      <w:r w:rsidRPr="008211ED">
        <w:rPr>
          <w:color w:val="auto"/>
          <w:sz w:val="24"/>
        </w:rPr>
        <w:t xml:space="preserve"> </w:t>
      </w:r>
      <w:r w:rsidR="00746A25">
        <w:rPr>
          <w:color w:val="auto"/>
          <w:sz w:val="24"/>
        </w:rPr>
        <w:t>71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7E3913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 xml:space="preserve">Внести в приложение к </w:t>
      </w:r>
      <w:r w:rsidR="00CE0861">
        <w:rPr>
          <w:sz w:val="28"/>
        </w:rPr>
        <w:t>распоряжени</w:t>
      </w:r>
      <w:r>
        <w:rPr>
          <w:sz w:val="28"/>
        </w:rPr>
        <w:t>ю</w:t>
      </w:r>
      <w:r w:rsidR="00CE0861">
        <w:rPr>
          <w:sz w:val="28"/>
        </w:rPr>
        <w:t xml:space="preserve">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</w:t>
      </w:r>
      <w:r>
        <w:rPr>
          <w:sz w:val="28"/>
        </w:rPr>
        <w:t>изменения</w:t>
      </w:r>
      <w:r w:rsidR="004F2989">
        <w:rPr>
          <w:sz w:val="28"/>
        </w:rPr>
        <w:t xml:space="preserve"> согласно приложению к настоящему распоряжению:</w:t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355A21">
      <w:pPr>
        <w:jc w:val="both"/>
        <w:rPr>
          <w:b/>
          <w:sz w:val="27"/>
        </w:rPr>
      </w:pPr>
      <w:r>
        <w:rPr>
          <w:b/>
          <w:sz w:val="27"/>
        </w:rPr>
        <w:t>Г</w:t>
      </w:r>
      <w:r w:rsidR="00CE0861">
        <w:rPr>
          <w:b/>
          <w:sz w:val="27"/>
        </w:rPr>
        <w:t>лав</w:t>
      </w:r>
      <w:r w:rsidR="0055374A">
        <w:rPr>
          <w:b/>
          <w:sz w:val="27"/>
        </w:rPr>
        <w:t>а</w:t>
      </w:r>
      <w:r w:rsidR="00CE0861"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 w:rsidP="004F2989">
      <w:pPr>
        <w:jc w:val="both"/>
        <w:rPr>
          <w:b/>
          <w:sz w:val="27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55374A">
        <w:rPr>
          <w:b/>
          <w:sz w:val="27"/>
        </w:rPr>
        <w:t>Е</w:t>
      </w:r>
      <w:r>
        <w:rPr>
          <w:b/>
          <w:sz w:val="27"/>
        </w:rPr>
        <w:t xml:space="preserve">.Н. </w:t>
      </w:r>
      <w:r w:rsidR="0055374A">
        <w:rPr>
          <w:b/>
          <w:sz w:val="27"/>
        </w:rPr>
        <w:t>Овчинников</w:t>
      </w:r>
      <w:r w:rsidR="004F2989">
        <w:rPr>
          <w:b/>
          <w:sz w:val="27"/>
        </w:rPr>
        <w:t>а</w:t>
      </w:r>
    </w:p>
    <w:p w:rsidR="003A02CB" w:rsidRDefault="003A02CB" w:rsidP="004F2989">
      <w:pPr>
        <w:jc w:val="both"/>
        <w:rPr>
          <w:b/>
          <w:sz w:val="27"/>
        </w:rPr>
      </w:pPr>
    </w:p>
    <w:p w:rsidR="003A02CB" w:rsidRDefault="003A02CB" w:rsidP="004F2989">
      <w:pPr>
        <w:jc w:val="both"/>
        <w:rPr>
          <w:b/>
          <w:sz w:val="27"/>
        </w:rPr>
      </w:pPr>
    </w:p>
    <w:p w:rsidR="003A02CB" w:rsidRDefault="003A02CB" w:rsidP="004F2989">
      <w:pPr>
        <w:jc w:val="both"/>
        <w:rPr>
          <w:b/>
          <w:sz w:val="27"/>
        </w:rPr>
      </w:pPr>
    </w:p>
    <w:p w:rsidR="004F2989" w:rsidRDefault="004F2989" w:rsidP="004F2989">
      <w:pPr>
        <w:jc w:val="both"/>
        <w:rPr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746A25">
        <w:rPr>
          <w:rFonts w:ascii="Times New Roman" w:hAnsi="Times New Roman"/>
          <w:color w:val="auto"/>
          <w:sz w:val="18"/>
        </w:rPr>
        <w:t>02.10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663292" w:rsidRPr="00663292">
        <w:rPr>
          <w:rFonts w:ascii="Times New Roman" w:hAnsi="Times New Roman"/>
          <w:color w:val="auto"/>
          <w:sz w:val="18"/>
        </w:rPr>
        <w:t>4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746A25">
        <w:rPr>
          <w:rFonts w:ascii="Times New Roman" w:hAnsi="Times New Roman"/>
          <w:color w:val="auto"/>
          <w:sz w:val="18"/>
        </w:rPr>
        <w:t>71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4F2989" w:rsidRPr="004F2989" w:rsidRDefault="004F2989" w:rsidP="004F2989">
      <w:pPr>
        <w:jc w:val="center"/>
        <w:rPr>
          <w:color w:val="auto"/>
          <w:sz w:val="28"/>
          <w:szCs w:val="28"/>
        </w:rPr>
      </w:pPr>
      <w:r w:rsidRPr="004F2989">
        <w:rPr>
          <w:color w:val="auto"/>
          <w:sz w:val="28"/>
          <w:szCs w:val="28"/>
        </w:rPr>
        <w:t xml:space="preserve">ИЗМЕНЕНИЯ, </w:t>
      </w:r>
    </w:p>
    <w:p w:rsidR="004F2989" w:rsidRPr="004F2989" w:rsidRDefault="004F2989" w:rsidP="004F2989">
      <w:pPr>
        <w:jc w:val="center"/>
        <w:rPr>
          <w:bCs/>
          <w:sz w:val="26"/>
        </w:rPr>
      </w:pPr>
      <w:r w:rsidRPr="004F2989">
        <w:rPr>
          <w:color w:val="auto"/>
          <w:sz w:val="28"/>
          <w:szCs w:val="28"/>
        </w:rPr>
        <w:t>вносимые в распоряжение Администрации Большенеклиновского сельского поселения от</w:t>
      </w:r>
      <w:r w:rsidRPr="004F2989">
        <w:rPr>
          <w:b/>
          <w:sz w:val="26"/>
        </w:rPr>
        <w:t xml:space="preserve"> </w:t>
      </w:r>
      <w:proofErr w:type="spellStart"/>
      <w:r w:rsidRPr="004F2989">
        <w:rPr>
          <w:bCs/>
          <w:sz w:val="26"/>
        </w:rPr>
        <w:t>от</w:t>
      </w:r>
      <w:proofErr w:type="spellEnd"/>
      <w:r w:rsidRPr="004F2989">
        <w:rPr>
          <w:bCs/>
          <w:sz w:val="26"/>
        </w:rPr>
        <w:t xml:space="preserve"> 31.05.2016г. </w:t>
      </w:r>
      <w:r>
        <w:rPr>
          <w:bCs/>
          <w:sz w:val="26"/>
        </w:rPr>
        <w:t>№ 57</w:t>
      </w:r>
    </w:p>
    <w:p w:rsidR="004F2989" w:rsidRPr="004F2989" w:rsidRDefault="004F2989" w:rsidP="004F2989">
      <w:pPr>
        <w:jc w:val="center"/>
        <w:rPr>
          <w:bCs/>
          <w:sz w:val="27"/>
        </w:rPr>
      </w:pPr>
      <w:r w:rsidRPr="004F2989">
        <w:rPr>
          <w:bCs/>
          <w:sz w:val="26"/>
        </w:rPr>
        <w:t>«</w:t>
      </w:r>
      <w:r w:rsidRPr="004F2989">
        <w:rPr>
          <w:bCs/>
          <w:sz w:val="27"/>
        </w:rPr>
        <w:t xml:space="preserve">Об утверждении нормативных затрат для обеспечения функций </w:t>
      </w:r>
    </w:p>
    <w:p w:rsidR="004F2989" w:rsidRPr="004F2989" w:rsidRDefault="004F2989" w:rsidP="004F2989">
      <w:pPr>
        <w:ind w:right="-1"/>
        <w:jc w:val="center"/>
        <w:rPr>
          <w:bCs/>
          <w:sz w:val="28"/>
        </w:rPr>
      </w:pPr>
      <w:r w:rsidRPr="004F2989">
        <w:rPr>
          <w:bCs/>
          <w:sz w:val="27"/>
        </w:rPr>
        <w:t xml:space="preserve"> администрации Большенеклиновского сельского поселения</w:t>
      </w:r>
      <w:r w:rsidRPr="004F2989">
        <w:rPr>
          <w:bCs/>
          <w:sz w:val="28"/>
        </w:rPr>
        <w:t>»</w:t>
      </w:r>
    </w:p>
    <w:p w:rsidR="00F37CD4" w:rsidRDefault="00F37CD4" w:rsidP="00F37CD4">
      <w:pPr>
        <w:jc w:val="center"/>
        <w:rPr>
          <w:sz w:val="28"/>
        </w:rPr>
      </w:pPr>
    </w:p>
    <w:p w:rsidR="00F37CD4" w:rsidRDefault="00F37CD4" w:rsidP="00F37CD4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F37CD4" w:rsidRDefault="00F37CD4" w:rsidP="00F37CD4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 w:rsidP="004F298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4F2989" w:rsidRPr="004F2989" w:rsidRDefault="004F2989" w:rsidP="004F2989">
      <w:pPr>
        <w:tabs>
          <w:tab w:val="left" w:pos="4875"/>
        </w:tabs>
        <w:ind w:left="720"/>
        <w:rPr>
          <w:sz w:val="28"/>
          <w:szCs w:val="28"/>
        </w:rPr>
      </w:pPr>
      <w:r>
        <w:rPr>
          <w:sz w:val="28"/>
          <w:szCs w:val="28"/>
        </w:rPr>
        <w:t>1.   П. 14 «</w:t>
      </w:r>
      <w:r>
        <w:rPr>
          <w:sz w:val="28"/>
        </w:rPr>
        <w:t xml:space="preserve">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4F2989" w:rsidRDefault="004F2989" w:rsidP="004F2989">
      <w:pPr>
        <w:rPr>
          <w:sz w:val="28"/>
          <w:szCs w:val="28"/>
        </w:rPr>
      </w:pPr>
      <w:r>
        <w:rPr>
          <w:spacing w:val="-2"/>
          <w:sz w:val="28"/>
        </w:rPr>
        <w:t xml:space="preserve">           в расчете на одного работника»</w:t>
      </w:r>
      <w:r>
        <w:rPr>
          <w:sz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45D29" w:rsidRPr="004F2989" w:rsidRDefault="004F2989" w:rsidP="004F298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45D29" w:rsidRDefault="003A02CB" w:rsidP="004F2989">
      <w:pPr>
        <w:tabs>
          <w:tab w:val="left" w:pos="4875"/>
        </w:tabs>
        <w:ind w:left="720"/>
        <w:jc w:val="center"/>
        <w:rPr>
          <w:sz w:val="28"/>
        </w:rPr>
      </w:pPr>
      <w:bookmarkStart w:id="0" w:name="_Hlk59198878"/>
      <w:r>
        <w:rPr>
          <w:sz w:val="28"/>
        </w:rPr>
        <w:t>«</w:t>
      </w:r>
      <w:r w:rsidR="00CE0861">
        <w:rPr>
          <w:sz w:val="28"/>
        </w:rPr>
        <w:t>14.</w:t>
      </w:r>
      <w:bookmarkStart w:id="1" w:name="_Hlk178768417"/>
      <w:r w:rsidR="004F2989">
        <w:rPr>
          <w:sz w:val="28"/>
        </w:rPr>
        <w:t xml:space="preserve"> </w:t>
      </w:r>
      <w:r w:rsidR="00CE0861">
        <w:rPr>
          <w:sz w:val="28"/>
        </w:rPr>
        <w:t xml:space="preserve">Нормативы количества и цены </w:t>
      </w:r>
      <w:r w:rsidR="00CE0861">
        <w:rPr>
          <w:spacing w:val="-2"/>
          <w:sz w:val="28"/>
        </w:rPr>
        <w:t>канцелярских принадлежностей</w:t>
      </w:r>
    </w:p>
    <w:p w:rsidR="00045D29" w:rsidRDefault="00CE0861" w:rsidP="004F2989">
      <w:pPr>
        <w:ind w:left="851"/>
        <w:jc w:val="center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1"/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bookmarkStart w:id="2" w:name="_GoBack"/>
            <w:bookmarkEnd w:id="2"/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 w:rsidRPr="00DE2D27">
              <w:rPr>
                <w:color w:val="auto"/>
                <w:sz w:val="24"/>
              </w:rPr>
              <w:t>до 1</w:t>
            </w:r>
            <w:r w:rsidR="009633E0" w:rsidRPr="00DE2D27">
              <w:rPr>
                <w:color w:val="auto"/>
                <w:sz w:val="24"/>
              </w:rPr>
              <w:t>75</w:t>
            </w:r>
            <w:r w:rsidRPr="00DE2D27">
              <w:rPr>
                <w:color w:val="auto"/>
                <w:sz w:val="24"/>
              </w:rPr>
              <w:t>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2F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0861">
              <w:rPr>
                <w:sz w:val="24"/>
              </w:rPr>
              <w:t>о 100,00</w:t>
            </w:r>
            <w:bookmarkEnd w:id="0"/>
          </w:p>
        </w:tc>
      </w:tr>
      <w:tr w:rsidR="002F47F5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Короб архивный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до 575,00</w:t>
            </w:r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3A02CB" w:rsidRDefault="003A02CB" w:rsidP="003A02CB">
      <w:pPr>
        <w:rPr>
          <w:sz w:val="26"/>
        </w:rPr>
      </w:pPr>
      <w:bookmarkStart w:id="3" w:name="_Hlk178769330"/>
      <w:r w:rsidRPr="003A02CB">
        <w:rPr>
          <w:bCs/>
          <w:sz w:val="28"/>
        </w:rPr>
        <w:t>2.</w:t>
      </w:r>
      <w:r>
        <w:rPr>
          <w:bCs/>
          <w:sz w:val="28"/>
        </w:rPr>
        <w:t xml:space="preserve"> П. 64 «</w:t>
      </w:r>
      <w:r>
        <w:rPr>
          <w:spacing w:val="-2"/>
          <w:sz w:val="26"/>
        </w:rPr>
        <w:t>Нормативы количества товара для ТС»</w:t>
      </w:r>
      <w:r w:rsidRPr="003A02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spacing w:val="-2"/>
          <w:sz w:val="26"/>
        </w:rPr>
        <w:t xml:space="preserve"> </w:t>
      </w:r>
    </w:p>
    <w:bookmarkEnd w:id="3"/>
    <w:p w:rsidR="00045D29" w:rsidRPr="003A02CB" w:rsidRDefault="00045D29" w:rsidP="003A02CB">
      <w:pPr>
        <w:rPr>
          <w:bCs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4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6A001C">
            <w:pPr>
              <w:widowControl w:val="0"/>
              <w:jc w:val="center"/>
              <w:rPr>
                <w:sz w:val="22"/>
                <w:szCs w:val="22"/>
              </w:rPr>
            </w:pPr>
            <w:r w:rsidRPr="00DE2D27">
              <w:rPr>
                <w:color w:val="auto"/>
                <w:sz w:val="22"/>
                <w:szCs w:val="22"/>
              </w:rPr>
              <w:t>80</w:t>
            </w:r>
            <w:r w:rsidR="00CE0861" w:rsidRPr="00DE2D27">
              <w:rPr>
                <w:color w:val="auto"/>
                <w:sz w:val="22"/>
                <w:szCs w:val="22"/>
              </w:rPr>
              <w:t>00,00</w:t>
            </w:r>
            <w:bookmarkEnd w:id="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3A02CB" w:rsidRDefault="003A02CB" w:rsidP="003A02CB">
      <w:pPr>
        <w:rPr>
          <w:sz w:val="26"/>
        </w:rPr>
      </w:pPr>
      <w:bookmarkStart w:id="5" w:name="_Hlk178769422"/>
      <w:r>
        <w:rPr>
          <w:bCs/>
          <w:sz w:val="28"/>
        </w:rPr>
        <w:t>3</w:t>
      </w:r>
      <w:r w:rsidRPr="003A02CB">
        <w:rPr>
          <w:bCs/>
          <w:sz w:val="28"/>
        </w:rPr>
        <w:t>.</w:t>
      </w:r>
      <w:r>
        <w:rPr>
          <w:bCs/>
          <w:sz w:val="28"/>
        </w:rPr>
        <w:t xml:space="preserve"> П. 99 «</w:t>
      </w:r>
      <w:r>
        <w:rPr>
          <w:spacing w:val="-2"/>
          <w:sz w:val="26"/>
        </w:rPr>
        <w:t>Нормативы количества товара для ТС»</w:t>
      </w:r>
      <w:r w:rsidRPr="003A02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spacing w:val="-2"/>
          <w:sz w:val="26"/>
        </w:rPr>
        <w:t xml:space="preserve"> </w:t>
      </w:r>
    </w:p>
    <w:bookmarkEnd w:id="5"/>
    <w:p w:rsidR="00727210" w:rsidRDefault="00727210" w:rsidP="003A02CB">
      <w:pPr>
        <w:rPr>
          <w:color w:val="000000" w:themeColor="text1"/>
          <w:sz w:val="28"/>
        </w:rPr>
      </w:pPr>
    </w:p>
    <w:p w:rsidR="00045D29" w:rsidRDefault="00832AE4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99</w:t>
      </w:r>
      <w:r w:rsidR="00CE0861"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БелМаг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2942DE">
              <w:rPr>
                <w:color w:val="auto"/>
                <w:sz w:val="22"/>
                <w:szCs w:val="22"/>
              </w:rPr>
              <w:t>Total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Quartz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 xml:space="preserve">4 </w:t>
            </w:r>
            <w:proofErr w:type="spellStart"/>
            <w:r w:rsidRPr="002942DE">
              <w:rPr>
                <w:color w:val="auto"/>
                <w:sz w:val="22"/>
                <w:szCs w:val="22"/>
              </w:rPr>
              <w:t>РосДот</w:t>
            </w:r>
            <w:proofErr w:type="spellEnd"/>
            <w:r w:rsidRPr="002942DE">
              <w:rPr>
                <w:color w:val="auto"/>
                <w:sz w:val="22"/>
                <w:szCs w:val="22"/>
              </w:rPr>
              <w:t xml:space="preserve">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  <w:tr w:rsidR="00A91030" w:rsidRPr="00A91030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A4B1B" w:rsidRDefault="00A91030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2942DE" w:rsidRDefault="00A91030" w:rsidP="00DA4B1B">
            <w:pPr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E2D27" w:rsidRDefault="00A91030" w:rsidP="00DA4B1B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DE2D27">
              <w:rPr>
                <w:color w:val="auto"/>
                <w:sz w:val="22"/>
                <w:szCs w:val="22"/>
              </w:rPr>
              <w:t>Аккумулятор</w:t>
            </w:r>
            <w:r w:rsidRPr="00DE2D27">
              <w:rPr>
                <w:color w:val="auto"/>
                <w:sz w:val="22"/>
                <w:szCs w:val="22"/>
                <w:lang w:val="en-US"/>
              </w:rPr>
              <w:t xml:space="preserve"> Inci Aku Formula A 6</w:t>
            </w:r>
            <w:r w:rsidRPr="00DE2D27">
              <w:rPr>
                <w:color w:val="auto"/>
                <w:sz w:val="22"/>
                <w:szCs w:val="22"/>
              </w:rPr>
              <w:t>СТ</w:t>
            </w:r>
            <w:r w:rsidRPr="00DE2D27">
              <w:rPr>
                <w:color w:val="auto"/>
                <w:sz w:val="22"/>
                <w:szCs w:val="22"/>
                <w:lang w:val="en-US"/>
              </w:rPr>
              <w:t>-60 (</w:t>
            </w:r>
            <w:r w:rsidRPr="00DE2D27">
              <w:rPr>
                <w:color w:val="auto"/>
                <w:sz w:val="22"/>
                <w:szCs w:val="22"/>
              </w:rPr>
              <w:t>о</w:t>
            </w:r>
            <w:r w:rsidRPr="00DE2D27">
              <w:rPr>
                <w:color w:val="auto"/>
                <w:sz w:val="22"/>
                <w:szCs w:val="22"/>
                <w:lang w:val="en-US"/>
              </w:rPr>
              <w:t>.</w:t>
            </w:r>
            <w:r w:rsidRPr="00DE2D27">
              <w:rPr>
                <w:color w:val="auto"/>
                <w:sz w:val="22"/>
                <w:szCs w:val="22"/>
              </w:rPr>
              <w:t>п</w:t>
            </w:r>
            <w:r w:rsidRPr="00DE2D27">
              <w:rPr>
                <w:color w:val="auto"/>
                <w:sz w:val="22"/>
                <w:szCs w:val="22"/>
                <w:lang w:val="en-US"/>
              </w:rPr>
              <w:t>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0" w:rsidRPr="00DE2D27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DE2D27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E2D27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DE2D2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E2D27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DE2D27">
              <w:rPr>
                <w:color w:val="auto"/>
                <w:sz w:val="22"/>
                <w:szCs w:val="22"/>
              </w:rPr>
              <w:t>7300,00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E2D27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DE2D27">
              <w:rPr>
                <w:color w:val="auto"/>
                <w:sz w:val="22"/>
                <w:szCs w:val="22"/>
              </w:rPr>
              <w:t>7300,00</w:t>
            </w:r>
          </w:p>
        </w:tc>
      </w:tr>
    </w:tbl>
    <w:p w:rsidR="00045D29" w:rsidRPr="00A91030" w:rsidRDefault="00045D29">
      <w:pPr>
        <w:jc w:val="center"/>
        <w:rPr>
          <w:color w:val="000000" w:themeColor="text1"/>
          <w:sz w:val="28"/>
          <w:lang w:val="en-US"/>
        </w:rPr>
      </w:pPr>
    </w:p>
    <w:p w:rsidR="003A02CB" w:rsidRPr="003A02CB" w:rsidRDefault="003A02CB" w:rsidP="003A02CB">
      <w:pPr>
        <w:pStyle w:val="af5"/>
        <w:numPr>
          <w:ilvl w:val="0"/>
          <w:numId w:val="1"/>
        </w:numPr>
        <w:rPr>
          <w:sz w:val="28"/>
          <w:szCs w:val="28"/>
        </w:rPr>
      </w:pPr>
      <w:r w:rsidRPr="003A02CB">
        <w:rPr>
          <w:bCs/>
          <w:sz w:val="28"/>
        </w:rPr>
        <w:t>П</w:t>
      </w:r>
      <w:r>
        <w:rPr>
          <w:bCs/>
          <w:sz w:val="28"/>
        </w:rPr>
        <w:t>.</w:t>
      </w:r>
      <w:r w:rsidRPr="003A02CB">
        <w:rPr>
          <w:bCs/>
          <w:sz w:val="28"/>
        </w:rPr>
        <w:t xml:space="preserve"> 108 «</w:t>
      </w:r>
      <w:r w:rsidRPr="003A02CB">
        <w:rPr>
          <w:spacing w:val="-2"/>
          <w:sz w:val="28"/>
        </w:rPr>
        <w:t>Нормативы затрат на приобретение товаров</w:t>
      </w:r>
      <w:r w:rsidRPr="003A02CB">
        <w:rPr>
          <w:spacing w:val="-2"/>
          <w:sz w:val="26"/>
        </w:rPr>
        <w:t>»</w:t>
      </w:r>
      <w:r w:rsidRPr="003A02CB">
        <w:rPr>
          <w:sz w:val="28"/>
          <w:szCs w:val="28"/>
        </w:rPr>
        <w:t xml:space="preserve"> </w:t>
      </w:r>
    </w:p>
    <w:p w:rsidR="003A02CB" w:rsidRPr="003A02CB" w:rsidRDefault="003A02CB" w:rsidP="003A02CB">
      <w:pPr>
        <w:ind w:left="360"/>
        <w:rPr>
          <w:sz w:val="26"/>
        </w:rPr>
      </w:pPr>
      <w:r w:rsidRPr="003A02CB">
        <w:rPr>
          <w:sz w:val="28"/>
          <w:szCs w:val="28"/>
        </w:rPr>
        <w:t>изложить в следующей редакции:</w:t>
      </w:r>
      <w:r w:rsidRPr="003A02CB">
        <w:rPr>
          <w:spacing w:val="-2"/>
          <w:sz w:val="26"/>
        </w:rPr>
        <w:t xml:space="preserve"> </w:t>
      </w:r>
    </w:p>
    <w:p w:rsidR="005E7C59" w:rsidRPr="00875FA1" w:rsidRDefault="005E7C59" w:rsidP="003A02CB">
      <w:pPr>
        <w:rPr>
          <w:b/>
          <w:color w:val="auto"/>
          <w:sz w:val="28"/>
        </w:rPr>
      </w:pPr>
    </w:p>
    <w:p w:rsidR="0056043C" w:rsidRDefault="0056043C" w:rsidP="0056043C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108.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56043C" w:rsidTr="00BD357E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BD3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56043C" w:rsidTr="00BD357E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043C" w:rsidRDefault="0056043C" w:rsidP="00BD35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Pr="00DE2D27" w:rsidRDefault="004C5D06" w:rsidP="00BD357E">
            <w:pPr>
              <w:rPr>
                <w:color w:val="auto"/>
                <w:sz w:val="24"/>
              </w:rPr>
            </w:pPr>
            <w:r w:rsidRPr="00DE2D27">
              <w:rPr>
                <w:color w:val="auto"/>
                <w:sz w:val="24"/>
              </w:rPr>
              <w:t xml:space="preserve">Аккумулятор герметичный свинцово-кислотный </w:t>
            </w:r>
            <w:r w:rsidRPr="00DE2D27">
              <w:rPr>
                <w:color w:val="auto"/>
                <w:sz w:val="24"/>
                <w:lang w:val="en-US"/>
              </w:rPr>
              <w:t>Delta</w:t>
            </w:r>
            <w:r w:rsidRPr="00DE2D27">
              <w:rPr>
                <w:color w:val="auto"/>
                <w:sz w:val="24"/>
              </w:rPr>
              <w:t xml:space="preserve"> </w:t>
            </w:r>
            <w:r w:rsidRPr="00DE2D27">
              <w:rPr>
                <w:color w:val="auto"/>
                <w:sz w:val="24"/>
                <w:lang w:val="en-US"/>
              </w:rPr>
              <w:t>DT</w:t>
            </w:r>
            <w:r w:rsidRPr="00DE2D27">
              <w:rPr>
                <w:color w:val="auto"/>
                <w:sz w:val="24"/>
              </w:rPr>
              <w:t xml:space="preserve"> 1207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DE2D27" w:rsidRDefault="0056043C" w:rsidP="00BD357E">
            <w:pPr>
              <w:rPr>
                <w:color w:val="auto"/>
              </w:rPr>
            </w:pPr>
            <w:r w:rsidRPr="00DE2D27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DE2D27" w:rsidRDefault="00F30B4A" w:rsidP="00BD357E">
            <w:pPr>
              <w:jc w:val="center"/>
              <w:rPr>
                <w:color w:val="auto"/>
                <w:sz w:val="24"/>
              </w:rPr>
            </w:pPr>
            <w:r w:rsidRPr="00DE2D27">
              <w:rPr>
                <w:color w:val="auto"/>
                <w:sz w:val="24"/>
              </w:rPr>
              <w:t>2500</w:t>
            </w:r>
            <w:r w:rsidR="0056043C" w:rsidRPr="00DE2D27">
              <w:rPr>
                <w:color w:val="auto"/>
                <w:sz w:val="24"/>
              </w:rPr>
              <w:t>,00</w:t>
            </w:r>
          </w:p>
        </w:tc>
      </w:tr>
    </w:tbl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C87D81" w:rsidRDefault="00C87D81">
      <w:pPr>
        <w:jc w:val="center"/>
        <w:rPr>
          <w:b/>
          <w:sz w:val="28"/>
        </w:rPr>
      </w:pPr>
    </w:p>
    <w:sectPr w:rsidR="00C87D81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BE4" w:rsidRDefault="001E4BE4">
      <w:r>
        <w:separator/>
      </w:r>
    </w:p>
  </w:endnote>
  <w:endnote w:type="continuationSeparator" w:id="0">
    <w:p w:rsidR="001E4BE4" w:rsidRDefault="001E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BE4" w:rsidRDefault="001E4BE4">
      <w:r>
        <w:separator/>
      </w:r>
    </w:p>
  </w:footnote>
  <w:footnote w:type="continuationSeparator" w:id="0">
    <w:p w:rsidR="001E4BE4" w:rsidRDefault="001E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01C" w:rsidRDefault="006A001C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6A001C" w:rsidRDefault="006A001C">
    <w:pPr>
      <w:pStyle w:val="af0"/>
    </w:pPr>
  </w:p>
  <w:p w:rsidR="006A001C" w:rsidRDefault="006A001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056399"/>
    <w:rsid w:val="00062508"/>
    <w:rsid w:val="00067ED7"/>
    <w:rsid w:val="000818B1"/>
    <w:rsid w:val="000B02B2"/>
    <w:rsid w:val="000B77A3"/>
    <w:rsid w:val="000D4C2C"/>
    <w:rsid w:val="00104420"/>
    <w:rsid w:val="00124F4A"/>
    <w:rsid w:val="00160DDE"/>
    <w:rsid w:val="00177572"/>
    <w:rsid w:val="0018119B"/>
    <w:rsid w:val="001B7056"/>
    <w:rsid w:val="001C784B"/>
    <w:rsid w:val="001D6F05"/>
    <w:rsid w:val="001E4BE4"/>
    <w:rsid w:val="001F0B58"/>
    <w:rsid w:val="00202C49"/>
    <w:rsid w:val="00232817"/>
    <w:rsid w:val="0023708B"/>
    <w:rsid w:val="0028143A"/>
    <w:rsid w:val="002942DE"/>
    <w:rsid w:val="002F47F5"/>
    <w:rsid w:val="002F6DB5"/>
    <w:rsid w:val="003067C9"/>
    <w:rsid w:val="00334217"/>
    <w:rsid w:val="00355A21"/>
    <w:rsid w:val="00386E89"/>
    <w:rsid w:val="003A02CB"/>
    <w:rsid w:val="003F07BC"/>
    <w:rsid w:val="003F67BA"/>
    <w:rsid w:val="00427C44"/>
    <w:rsid w:val="004833B9"/>
    <w:rsid w:val="004B0679"/>
    <w:rsid w:val="004C0232"/>
    <w:rsid w:val="004C5D06"/>
    <w:rsid w:val="004C69FF"/>
    <w:rsid w:val="004C6EEF"/>
    <w:rsid w:val="004D7525"/>
    <w:rsid w:val="004F2989"/>
    <w:rsid w:val="004F2F87"/>
    <w:rsid w:val="00531A7D"/>
    <w:rsid w:val="0054542B"/>
    <w:rsid w:val="0055374A"/>
    <w:rsid w:val="00555909"/>
    <w:rsid w:val="0056043C"/>
    <w:rsid w:val="005625B5"/>
    <w:rsid w:val="00563C98"/>
    <w:rsid w:val="00567D33"/>
    <w:rsid w:val="00582927"/>
    <w:rsid w:val="00582E85"/>
    <w:rsid w:val="005A2697"/>
    <w:rsid w:val="005A6D8A"/>
    <w:rsid w:val="005C442E"/>
    <w:rsid w:val="005E7C59"/>
    <w:rsid w:val="00601010"/>
    <w:rsid w:val="00611608"/>
    <w:rsid w:val="00637201"/>
    <w:rsid w:val="00645BDC"/>
    <w:rsid w:val="006538C3"/>
    <w:rsid w:val="00663292"/>
    <w:rsid w:val="00664234"/>
    <w:rsid w:val="00696B62"/>
    <w:rsid w:val="006A001C"/>
    <w:rsid w:val="006A303C"/>
    <w:rsid w:val="006A59B4"/>
    <w:rsid w:val="006A5D64"/>
    <w:rsid w:val="006C2E84"/>
    <w:rsid w:val="006C42BE"/>
    <w:rsid w:val="006D620E"/>
    <w:rsid w:val="00724664"/>
    <w:rsid w:val="00727210"/>
    <w:rsid w:val="00746A25"/>
    <w:rsid w:val="00750067"/>
    <w:rsid w:val="00774DAE"/>
    <w:rsid w:val="00785C97"/>
    <w:rsid w:val="007A08D4"/>
    <w:rsid w:val="007B734E"/>
    <w:rsid w:val="007D01DA"/>
    <w:rsid w:val="007D4AE8"/>
    <w:rsid w:val="007E3913"/>
    <w:rsid w:val="007F7043"/>
    <w:rsid w:val="00806951"/>
    <w:rsid w:val="008211ED"/>
    <w:rsid w:val="00832AE4"/>
    <w:rsid w:val="008353BB"/>
    <w:rsid w:val="008413A3"/>
    <w:rsid w:val="0084202F"/>
    <w:rsid w:val="00873228"/>
    <w:rsid w:val="00875FA1"/>
    <w:rsid w:val="008B2A91"/>
    <w:rsid w:val="008B413A"/>
    <w:rsid w:val="008E2F14"/>
    <w:rsid w:val="00904617"/>
    <w:rsid w:val="0091205A"/>
    <w:rsid w:val="009271BB"/>
    <w:rsid w:val="00932C47"/>
    <w:rsid w:val="00942445"/>
    <w:rsid w:val="00952B73"/>
    <w:rsid w:val="00956342"/>
    <w:rsid w:val="009633E0"/>
    <w:rsid w:val="00983105"/>
    <w:rsid w:val="00997B98"/>
    <w:rsid w:val="009A67A2"/>
    <w:rsid w:val="009B00C1"/>
    <w:rsid w:val="009D7788"/>
    <w:rsid w:val="009E2063"/>
    <w:rsid w:val="009F0987"/>
    <w:rsid w:val="00A3226A"/>
    <w:rsid w:val="00A50EED"/>
    <w:rsid w:val="00A91030"/>
    <w:rsid w:val="00A9328E"/>
    <w:rsid w:val="00AC3DA9"/>
    <w:rsid w:val="00B03C65"/>
    <w:rsid w:val="00B2424D"/>
    <w:rsid w:val="00B31ADD"/>
    <w:rsid w:val="00B4099C"/>
    <w:rsid w:val="00BB1391"/>
    <w:rsid w:val="00BC3126"/>
    <w:rsid w:val="00BE1B39"/>
    <w:rsid w:val="00C178F1"/>
    <w:rsid w:val="00C322EE"/>
    <w:rsid w:val="00C32F5F"/>
    <w:rsid w:val="00C36040"/>
    <w:rsid w:val="00C402F4"/>
    <w:rsid w:val="00C525BE"/>
    <w:rsid w:val="00C54B12"/>
    <w:rsid w:val="00C80405"/>
    <w:rsid w:val="00C87D81"/>
    <w:rsid w:val="00CA3EC5"/>
    <w:rsid w:val="00CB05CA"/>
    <w:rsid w:val="00CB3605"/>
    <w:rsid w:val="00CC4D24"/>
    <w:rsid w:val="00CE0861"/>
    <w:rsid w:val="00CE089E"/>
    <w:rsid w:val="00D04955"/>
    <w:rsid w:val="00D06A53"/>
    <w:rsid w:val="00D8261E"/>
    <w:rsid w:val="00D96BFC"/>
    <w:rsid w:val="00DA4B1B"/>
    <w:rsid w:val="00DC5A0B"/>
    <w:rsid w:val="00DE2D27"/>
    <w:rsid w:val="00DE405E"/>
    <w:rsid w:val="00E11167"/>
    <w:rsid w:val="00E440BD"/>
    <w:rsid w:val="00E609F7"/>
    <w:rsid w:val="00E63867"/>
    <w:rsid w:val="00E67ABB"/>
    <w:rsid w:val="00EB54B2"/>
    <w:rsid w:val="00EB7361"/>
    <w:rsid w:val="00ED5772"/>
    <w:rsid w:val="00F25550"/>
    <w:rsid w:val="00F30B4A"/>
    <w:rsid w:val="00F37CD4"/>
    <w:rsid w:val="00F525B6"/>
    <w:rsid w:val="00F67A97"/>
    <w:rsid w:val="00F76DF0"/>
    <w:rsid w:val="00F8746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cp:lastPrinted>2024-08-28T10:52:00Z</cp:lastPrinted>
  <dcterms:created xsi:type="dcterms:W3CDTF">2024-10-02T10:53:00Z</dcterms:created>
  <dcterms:modified xsi:type="dcterms:W3CDTF">2024-10-02T11:04:00Z</dcterms:modified>
</cp:coreProperties>
</file>