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jc w:val="right"/>
        <w:rPr>
          <w:rFonts w:ascii="Times New Roman" w:hAnsi="Times New Roman"/>
          <w:b w:val="1"/>
        </w:rPr>
      </w:pPr>
    </w:p>
    <w:p w14:paraId="02000000">
      <w:pPr>
        <w:pStyle w:val="Style_1"/>
        <w:ind w:right="48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83641" cy="93446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83641" cy="9344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Большенеклиновского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pStyle w:val="Style_2"/>
      </w:pPr>
      <w:r>
        <w:t xml:space="preserve">Неклиновского района Ростовской области </w:t>
      </w:r>
    </w:p>
    <w:p w14:paraId="06000000">
      <w:pPr>
        <w:pStyle w:val="Style_2"/>
      </w:pPr>
      <w:r>
        <w:t>ПОСТАНОВЛЕНИЕ</w:t>
      </w:r>
    </w:p>
    <w:p w14:paraId="07000000">
      <w:pPr>
        <w:rPr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 xml:space="preserve">                09.06.2023г.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№ 57</w:t>
      </w:r>
    </w:p>
    <w:p w14:paraId="09000000">
      <w:pPr>
        <w:rPr>
          <w:sz w:val="28"/>
        </w:rPr>
      </w:pPr>
    </w:p>
    <w:tbl>
      <w:tblPr>
        <w:tblStyle w:val="Style_3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О внесении изменений в Постановление администрации 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Большенеклиновского</w:t>
            </w:r>
            <w:r>
              <w:rPr>
                <w:b w:val="1"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Большенеклиновского</w:t>
            </w:r>
            <w:r>
              <w:rPr>
                <w:b w:val="1"/>
                <w:sz w:val="28"/>
              </w:rPr>
              <w:t xml:space="preserve"> сельского поселения</w:t>
            </w:r>
          </w:p>
          <w:p w14:paraId="0D000000">
            <w:pPr>
              <w:ind w:firstLine="0" w:left="709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14:paraId="0E000000">
            <w:pPr>
              <w:ind w:firstLine="0" w:left="709"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Большенеклиновского</w:t>
            </w:r>
            <w:r>
              <w:rPr>
                <w:b w:val="1"/>
                <w:sz w:val="28"/>
              </w:rPr>
              <w:t xml:space="preserve"> сельского поселения»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2023 год</w:t>
            </w:r>
          </w:p>
        </w:tc>
      </w:tr>
    </w:tbl>
    <w:p w14:paraId="10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Большенеклиновского</w:t>
      </w:r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Большенеклиновского</w:t>
      </w:r>
      <w:r>
        <w:rPr>
          <w:sz w:val="28"/>
        </w:rPr>
        <w:t xml:space="preserve"> сельского поселения»</w:t>
      </w:r>
      <w:r>
        <w:rPr>
          <w:b w:val="1"/>
          <w:sz w:val="28"/>
        </w:rPr>
        <w:t>:</w:t>
      </w:r>
    </w:p>
    <w:p w14:paraId="13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r>
        <w:rPr>
          <w:sz w:val="28"/>
        </w:rPr>
        <w:t>Большенеклиновского</w:t>
      </w:r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sz w:val="28"/>
        </w:rPr>
        <w:t>Большенеклиновского</w:t>
      </w:r>
      <w:r>
        <w:rPr>
          <w:sz w:val="28"/>
        </w:rPr>
        <w:t xml:space="preserve"> сельского поселения»</w:t>
      </w:r>
    </w:p>
    <w:p w14:paraId="14000000">
      <w:pPr>
        <w:ind w:firstLine="1080" w:left="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14:paraId="15000000">
      <w:pPr>
        <w:ind w:firstLine="1080" w:left="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14:paraId="16000000">
      <w:pPr>
        <w:ind w:firstLine="1080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17000000">
      <w:pPr>
        <w:ind w:firstLine="1080" w:left="0"/>
        <w:rPr>
          <w:sz w:val="28"/>
        </w:rPr>
      </w:pPr>
    </w:p>
    <w:p w14:paraId="18000000">
      <w:pPr>
        <w:ind w:firstLine="1080" w:left="0"/>
        <w:rPr>
          <w:sz w:val="28"/>
        </w:rPr>
      </w:pP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ind w:firstLine="1080" w:left="0"/>
        <w:rPr>
          <w:sz w:val="28"/>
        </w:rPr>
      </w:pPr>
    </w:p>
    <w:p w14:paraId="1C000000">
      <w:pPr>
        <w:ind w:firstLine="1080" w:left="0"/>
        <w:rPr>
          <w:sz w:val="28"/>
        </w:rPr>
      </w:pPr>
    </w:p>
    <w:p w14:paraId="1D000000">
      <w:pPr>
        <w:ind w:firstLine="1080" w:left="0"/>
        <w:rPr>
          <w:sz w:val="28"/>
        </w:rPr>
      </w:pPr>
    </w:p>
    <w:p w14:paraId="1E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>Большенеклиновского</w:t>
      </w:r>
      <w:r>
        <w:rPr>
          <w:b w:val="1"/>
          <w:sz w:val="28"/>
        </w:rPr>
        <w:t xml:space="preserve"> </w:t>
      </w:r>
    </w:p>
    <w:p w14:paraId="2000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Е.Н.Овчинникова</w:t>
      </w:r>
    </w:p>
    <w:p w14:paraId="21000000">
      <w:pPr>
        <w:rPr>
          <w:sz w:val="28"/>
        </w:rPr>
      </w:pPr>
    </w:p>
    <w:p w14:paraId="22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4000000">
      <w:pPr>
        <w:widowControl w:val="0"/>
        <w:ind/>
        <w:jc w:val="right"/>
        <w:outlineLvl w:val="2"/>
      </w:pPr>
      <w:r>
        <w:t>Приложение</w:t>
      </w:r>
    </w:p>
    <w:p w14:paraId="25000000">
      <w:pPr>
        <w:widowControl w:val="0"/>
        <w:ind/>
        <w:jc w:val="right"/>
        <w:outlineLvl w:val="2"/>
      </w:pPr>
      <w:r>
        <w:t>к постановлению Администрации</w:t>
      </w:r>
    </w:p>
    <w:p w14:paraId="26000000">
      <w:pPr>
        <w:widowControl w:val="0"/>
        <w:ind/>
        <w:jc w:val="right"/>
        <w:outlineLvl w:val="2"/>
      </w:pPr>
      <w:r>
        <w:t>Большенеклиновского</w:t>
      </w:r>
      <w:r>
        <w:t xml:space="preserve"> сельского поселения</w:t>
      </w:r>
    </w:p>
    <w:p w14:paraId="27000000">
      <w:pPr>
        <w:widowControl w:val="0"/>
        <w:ind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 09.06.2023</w:t>
      </w:r>
      <w:r>
        <w:t>г  №</w:t>
      </w:r>
      <w:r>
        <w:t xml:space="preserve"> </w:t>
      </w:r>
      <w:bookmarkStart w:id="1" w:name="Par1054"/>
      <w:bookmarkEnd w:id="1"/>
      <w:r>
        <w:t>57</w:t>
      </w:r>
    </w:p>
    <w:p w14:paraId="28000000">
      <w:pPr>
        <w:widowControl w:val="0"/>
        <w:ind/>
        <w:jc w:val="center"/>
        <w:rPr>
          <w:b w:val="1"/>
        </w:rPr>
      </w:pPr>
      <w:r>
        <w:rPr>
          <w:b w:val="1"/>
        </w:rPr>
        <w:t>План</w:t>
      </w:r>
    </w:p>
    <w:p w14:paraId="29000000">
      <w:pPr>
        <w:ind w:firstLine="0" w:left="709"/>
        <w:jc w:val="center"/>
      </w:pPr>
      <w:r>
        <w:rPr>
          <w:b w:val="1"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r>
        <w:rPr>
          <w:b w:val="1"/>
        </w:rPr>
        <w:t>Большенеклиновского</w:t>
      </w:r>
      <w:r>
        <w:rPr>
          <w:b w:val="1"/>
        </w:rPr>
        <w:t xml:space="preserve">  сельского</w:t>
      </w:r>
      <w:r>
        <w:rPr>
          <w:b w:val="1"/>
        </w:rPr>
        <w:t xml:space="preserve"> поселения»</w:t>
      </w:r>
    </w:p>
    <w:p w14:paraId="2A000000">
      <w:pPr>
        <w:ind/>
        <w:jc w:val="center"/>
        <w:rPr>
          <w:b w:val="1"/>
        </w:rPr>
      </w:pPr>
      <w:r>
        <w:rPr>
          <w:b w:val="1"/>
        </w:rPr>
        <w:t>на 2023 год</w:t>
      </w: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21"/>
        <w:gridCol w:w="2985"/>
        <w:gridCol w:w="2080"/>
        <w:gridCol w:w="4655"/>
        <w:gridCol w:w="1232"/>
        <w:gridCol w:w="958"/>
        <w:gridCol w:w="959"/>
        <w:gridCol w:w="1044"/>
        <w:gridCol w:w="1043"/>
        <w:gridCol w:w="12"/>
      </w:tblGrid>
      <w:tr>
        <w:trPr>
          <w:trHeight w:hRule="atLeast" w:val="276"/>
        </w:trPr>
        <w:tc>
          <w:tcPr>
            <w:tcW w:type="dxa" w:w="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2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 xml:space="preserve">Наименование </w:t>
            </w:r>
          </w:p>
          <w:p w14:paraId="2D000000">
            <w:pPr>
              <w:widowControl w:val="0"/>
              <w:ind/>
              <w:jc w:val="center"/>
            </w:pPr>
          </w:p>
        </w:tc>
        <w:tc>
          <w:tcPr>
            <w:tcW w:type="dxa" w:w="2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F000000">
            <w:pPr>
              <w:widowControl w:val="0"/>
              <w:ind w:firstLine="0" w:left="-47" w:right="-75"/>
              <w:jc w:val="center"/>
            </w:pPr>
            <w:r>
              <w:t>(</w:t>
            </w:r>
            <w:r>
              <w:t>долность</w:t>
            </w:r>
            <w:r>
              <w:t xml:space="preserve">/ФИО </w:t>
            </w:r>
            <w:r>
              <w:rPr>
                <w:rStyle w:val="Style_5_ch"/>
                <w:color w:val="000000"/>
              </w:rPr>
              <w:fldChar w:fldCharType="begin"/>
            </w:r>
            <w:r>
              <w:rPr>
                <w:rStyle w:val="Style_5_ch"/>
                <w:color w:val="000000"/>
              </w:rPr>
              <w:instrText>HYPERLINK "file://///LOZENKO_VN/shared/Users/User/Desktop/проект%20распоряжения%20Методика.docx#Par1127"</w:instrText>
            </w:r>
            <w:r>
              <w:rPr>
                <w:rStyle w:val="Style_5_ch"/>
                <w:color w:val="000000"/>
              </w:rPr>
              <w:fldChar w:fldCharType="separate"/>
            </w:r>
            <w:r>
              <w:rPr>
                <w:rStyle w:val="Style_5_ch"/>
                <w:color w:val="000000"/>
              </w:rPr>
              <w:t>&lt;1&gt;</w:t>
            </w:r>
            <w:r>
              <w:rPr>
                <w:rStyle w:val="Style_5_ch"/>
                <w:color w:val="000000"/>
              </w:rPr>
              <w:fldChar w:fldCharType="end"/>
            </w:r>
          </w:p>
        </w:tc>
        <w:tc>
          <w:tcPr>
            <w:tcW w:type="dxa" w:w="4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right="-75"/>
              <w:jc w:val="both"/>
            </w:pPr>
            <w:r>
              <w:t xml:space="preserve">Ожидаемый </w:t>
            </w:r>
            <w:r>
              <w:t>результат  (</w:t>
            </w:r>
            <w:r>
              <w:t>краткое описание)</w:t>
            </w:r>
          </w:p>
        </w:tc>
        <w:tc>
          <w:tcPr>
            <w:tcW w:type="dxa" w:w="12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  (дата)</w:t>
            </w:r>
          </w:p>
        </w:tc>
        <w:tc>
          <w:tcPr>
            <w:tcW w:type="dxa" w:w="4015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</w:pPr>
            <w:r>
              <w:t xml:space="preserve">Объем расходов на 2023год </w:t>
            </w:r>
          </w:p>
          <w:p w14:paraId="33000000">
            <w:pPr>
              <w:ind/>
              <w:jc w:val="center"/>
            </w:pPr>
            <w:r>
              <w:t>(</w:t>
            </w:r>
            <w:r>
              <w:t>тыс.руб</w:t>
            </w:r>
            <w:r>
              <w:t>.) &lt;2&gt;</w:t>
            </w:r>
          </w:p>
        </w:tc>
      </w:tr>
      <w:tr>
        <w:tc>
          <w:tcPr>
            <w:tcW w:type="dxa" w:w="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46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2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 xml:space="preserve">Подпрограмма 1. </w:t>
            </w:r>
          </w:p>
          <w:p w14:paraId="4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r>
              <w:rPr>
                <w:sz w:val="24"/>
              </w:rPr>
              <w:t>Большенеклиновском</w:t>
            </w:r>
            <w:r>
              <w:rPr>
                <w:sz w:val="24"/>
              </w:rPr>
              <w:t xml:space="preserve"> сельском поселении</w:t>
            </w:r>
          </w:p>
          <w:p w14:paraId="46000000">
            <w:pPr>
              <w:pStyle w:val="Style_6"/>
              <w:rPr>
                <w:sz w:val="24"/>
              </w:rPr>
            </w:pPr>
          </w:p>
        </w:tc>
        <w:tc>
          <w:tcPr>
            <w:tcW w:type="dxa" w:w="2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 xml:space="preserve">Ведущий </w:t>
            </w:r>
          </w:p>
          <w:p w14:paraId="48000000">
            <w:pPr>
              <w:widowControl w:val="0"/>
              <w:ind w:right="-75"/>
            </w:pPr>
            <w:r>
              <w:t xml:space="preserve">специалист </w:t>
            </w:r>
            <w:r>
              <w:t>О.Н.Федоренко</w:t>
            </w:r>
          </w:p>
        </w:tc>
        <w:tc>
          <w:tcPr>
            <w:tcW w:type="dxa" w:w="46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31.12.2023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41</w:t>
            </w:r>
            <w:r>
              <w:t>31,8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969,4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316</w:t>
            </w:r>
            <w:r>
              <w:t>2,4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F000000"/>
        </w:tc>
      </w:tr>
      <w:tr>
        <w:tc>
          <w:tcPr>
            <w:tcW w:type="dxa" w:w="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2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 xml:space="preserve">Основное мероприятие </w:t>
            </w:r>
          </w:p>
          <w:p w14:paraId="52000000">
            <w:pPr>
              <w:widowControl w:val="0"/>
              <w:ind/>
            </w:pPr>
            <w:r>
              <w:t xml:space="preserve">Организация благоустройства в </w:t>
            </w:r>
            <w:r>
              <w:t>Большенеклиновском</w:t>
            </w:r>
            <w:r>
              <w:t xml:space="preserve"> сельском поселении</w:t>
            </w:r>
          </w:p>
        </w:tc>
        <w:tc>
          <w:tcPr>
            <w:tcW w:type="dxa" w:w="2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</w:p>
        </w:tc>
        <w:tc>
          <w:tcPr>
            <w:tcW w:type="dxa" w:w="46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r>
              <w:t>Большенеклиновского</w:t>
            </w:r>
            <w:r>
              <w:t xml:space="preserve"> сельского поселения.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31.12.2023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14</w:t>
            </w:r>
            <w:r>
              <w:t>31,8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14</w:t>
            </w:r>
            <w:r>
              <w:t>31,8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A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14:paraId="60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>31.12.2023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1550,0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1550,0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6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r>
              <w:t>Основное мероприятие</w:t>
            </w:r>
          </w:p>
          <w:p w14:paraId="69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31.12.2023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1150,0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969,4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180,6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1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7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14:paraId="7500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  <w:r>
              <w:t xml:space="preserve">Ведущий </w:t>
            </w:r>
          </w:p>
          <w:p w14:paraId="77000000">
            <w:pPr>
              <w:widowControl w:val="0"/>
              <w:ind/>
            </w:pPr>
            <w:r>
              <w:t xml:space="preserve">специалист </w:t>
            </w:r>
            <w:r>
              <w:t>О.Н.Федоренко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31.12.2023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E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8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r>
              <w:t>Большенеклиновском</w:t>
            </w:r>
            <w:r>
              <w:t xml:space="preserve"> сельском поселении</w:t>
            </w:r>
          </w:p>
          <w:p w14:paraId="84000000">
            <w:pPr>
              <w:widowControl w:val="0"/>
              <w:ind/>
              <w:jc w:val="both"/>
            </w:pP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31.12.2023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A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 xml:space="preserve">Ведущий </w:t>
            </w:r>
          </w:p>
          <w:p w14:paraId="8E000000">
            <w:pPr>
              <w:widowControl w:val="0"/>
              <w:ind/>
            </w:pPr>
            <w:r>
              <w:t xml:space="preserve">специалист </w:t>
            </w:r>
            <w:r>
              <w:t>О.Н.Федоренко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/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180,0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180,0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5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14:paraId="9800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r>
              <w:t xml:space="preserve">повышение уровня газификации населения </w:t>
            </w:r>
            <w:r>
              <w:t>Большенеклиновского</w:t>
            </w:r>
            <w:r>
              <w:t xml:space="preserve"> сельского поселения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0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</w:pPr>
            <w:r>
              <w:t>3.2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r>
              <w:t>Основное мероприятие 3.2</w:t>
            </w:r>
          </w:p>
          <w:p w14:paraId="A3000000">
            <w:r>
              <w:t>Прочие мероприятия (обслуживание шкафов)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r>
              <w:t>повышение безопасного применения газового оборудования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180,0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180,0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B000000"/>
        </w:tc>
      </w:tr>
      <w:t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6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r>
              <w:t>Х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  <w:r>
              <w:t>43</w:t>
            </w:r>
            <w:r>
              <w:t>61,8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969,4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339</w:t>
            </w:r>
            <w:r>
              <w:t>2</w:t>
            </w:r>
            <w:r>
              <w:t>,</w:t>
            </w:r>
            <w:r>
              <w:t>4</w:t>
            </w:r>
            <w:bookmarkStart w:id="2" w:name="_GoBack"/>
            <w:bookmarkEnd w:id="2"/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5000000"/>
        </w:tc>
      </w:tr>
    </w:tbl>
    <w:p w14:paraId="B6000000">
      <w:pPr>
        <w:widowControl w:val="0"/>
        <w:ind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1"/>
    <w:basedOn w:val="Style_7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1"/>
    <w:basedOn w:val="Style_7_ch"/>
    <w:link w:val="Style_12"/>
    <w:rPr>
      <w:rFonts w:ascii="Tahoma" w:hAnsi="Tahoma"/>
      <w:sz w:val="20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7"/>
    <w:link w:val="Style_1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4_ch" w:type="character">
    <w:name w:val="footer"/>
    <w:basedOn w:val="Style_7_ch"/>
    <w:link w:val="Style_14"/>
    <w:rPr>
      <w:sz w:val="20"/>
    </w:rPr>
  </w:style>
  <w:style w:styleId="Style_15" w:type="paragraph">
    <w:name w:val="Знак1"/>
    <w:basedOn w:val="Style_7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1"/>
    <w:basedOn w:val="Style_7_ch"/>
    <w:link w:val="Style_15"/>
    <w:rPr>
      <w:rFonts w:ascii="Tahoma" w:hAnsi="Tahoma"/>
      <w:sz w:val="20"/>
    </w:rPr>
  </w:style>
  <w:style w:styleId="Style_1" w:type="paragraph">
    <w:name w:val="Postan"/>
    <w:basedOn w:val="Style_7"/>
    <w:link w:val="Style_1_ch"/>
    <w:pPr>
      <w:ind/>
      <w:jc w:val="center"/>
    </w:pPr>
    <w:rPr>
      <w:rFonts w:ascii="Calibri" w:hAnsi="Calibri"/>
      <w:sz w:val="28"/>
    </w:rPr>
  </w:style>
  <w:style w:styleId="Style_1_ch" w:type="character">
    <w:name w:val="Postan"/>
    <w:basedOn w:val="Style_7_ch"/>
    <w:link w:val="Style_1"/>
    <w:rPr>
      <w:rFonts w:ascii="Calibri" w:hAnsi="Calibri"/>
      <w:sz w:val="28"/>
    </w:rPr>
  </w:style>
  <w:style w:styleId="Style_16" w:type="paragraph">
    <w:name w:val="Основной текст (6) Exact"/>
    <w:link w:val="Style_16_ch"/>
    <w:rPr>
      <w:rFonts w:ascii="Times New Roman" w:hAnsi="Times New Roman"/>
      <w:sz w:val="16"/>
      <w:u w:val="none"/>
    </w:rPr>
  </w:style>
  <w:style w:styleId="Style_16_ch" w:type="character">
    <w:name w:val="Основной текст (6) Exact"/>
    <w:link w:val="Style_16"/>
    <w:rPr>
      <w:rFonts w:ascii="Times New Roman" w:hAnsi="Times New Roman"/>
      <w:sz w:val="16"/>
      <w:u w:val="none"/>
    </w:rPr>
  </w:style>
  <w:style w:styleId="Style_17" w:type="paragraph">
    <w:name w:val="toc 3"/>
    <w:next w:val="Style_7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7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7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8"/>
    <w:next w:val="Style_7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toc 5"/>
    <w:next w:val="Style_7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7_ch"/>
    <w:link w:val="Style_2"/>
    <w:rPr>
      <w:b w:val="1"/>
      <w:sz w:val="28"/>
    </w:rPr>
  </w:style>
  <w:style w:styleId="Style_36" w:type="paragraph">
    <w:name w:val="ConsNonformat"/>
    <w:link w:val="Style_36_ch"/>
    <w:pPr>
      <w:widowControl w:val="0"/>
      <w:ind w:right="19772"/>
    </w:pPr>
    <w:rPr>
      <w:rFonts w:ascii="Courier New" w:hAnsi="Courier New"/>
      <w:sz w:val="22"/>
    </w:rPr>
  </w:style>
  <w:style w:styleId="Style_36_ch" w:type="character">
    <w:name w:val="ConsNonformat"/>
    <w:link w:val="Style_36"/>
    <w:rPr>
      <w:rFonts w:ascii="Courier New" w:hAnsi="Courier New"/>
      <w:sz w:val="22"/>
    </w:rPr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2023-06-09T07:04:41Z</dcterms:modified>
</cp:coreProperties>
</file>